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D6E72" w:rsidRPr="006D6E72" w:rsidRDefault="006D6E72" w:rsidP="006D6E72">
      <w:pPr>
        <w:pStyle w:val="1"/>
        <w:spacing w:before="0" w:beforeAutospacing="0" w:after="360" w:afterAutospacing="0"/>
        <w:jc w:val="both"/>
        <w:rPr>
          <w:color w:val="334059"/>
          <w:sz w:val="26"/>
          <w:szCs w:val="26"/>
        </w:rPr>
      </w:pPr>
      <w:r w:rsidRPr="006D6E72">
        <w:rPr>
          <w:color w:val="334059"/>
          <w:sz w:val="26"/>
          <w:szCs w:val="26"/>
        </w:rPr>
        <w:t>На публичной кадастровой карте расширяется список доступных сведений о кадастровой стоимости недвижимости</w:t>
      </w:r>
    </w:p>
    <w:p w:rsidR="006D6E72" w:rsidRPr="006D6E72" w:rsidRDefault="006D6E72" w:rsidP="006D6E72">
      <w:pPr>
        <w:pStyle w:val="aa"/>
        <w:spacing w:before="0" w:beforeAutospacing="0" w:after="360" w:afterAutospacing="0"/>
        <w:jc w:val="both"/>
        <w:rPr>
          <w:color w:val="334059"/>
        </w:rPr>
      </w:pPr>
      <w:r w:rsidRPr="006D6E72">
        <w:rPr>
          <w:i/>
          <w:iCs/>
          <w:color w:val="334059"/>
        </w:rPr>
        <w:t>В карточки объектов недвижимости добавляются даты определения, утверждения, внесения в ЕГРН и применения кадастровой стоимости</w:t>
      </w:r>
      <w:r w:rsidRPr="006D6E72">
        <w:rPr>
          <w:color w:val="334059"/>
        </w:rPr>
        <w:t> </w:t>
      </w:r>
    </w:p>
    <w:p w:rsidR="006D6E72" w:rsidRDefault="006D6E72" w:rsidP="006D6E72">
      <w:pPr>
        <w:pStyle w:val="aa"/>
        <w:spacing w:before="0" w:beforeAutospacing="0" w:after="360" w:afterAutospacing="0"/>
        <w:jc w:val="both"/>
        <w:rPr>
          <w:b/>
          <w:bCs/>
          <w:color w:val="334059"/>
        </w:rPr>
      </w:pPr>
      <w:r w:rsidRPr="006D6E72">
        <w:rPr>
          <w:b/>
          <w:bCs/>
          <w:color w:val="334059"/>
        </w:rPr>
        <w:t>Публичная кадастровая </w:t>
      </w:r>
      <w:hyperlink r:id="rId8" w:history="1">
        <w:r w:rsidRPr="006D6E72">
          <w:rPr>
            <w:rStyle w:val="a9"/>
            <w:b/>
            <w:bCs/>
          </w:rPr>
          <w:t>карта</w:t>
        </w:r>
      </w:hyperlink>
      <w:r w:rsidRPr="006D6E72">
        <w:rPr>
          <w:b/>
          <w:bCs/>
          <w:color w:val="334059"/>
        </w:rPr>
        <w:t> расширяет список сведений о кадастровой стоимости объектов недвижимости, которые можно получить в режиме онлайн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  <w:r>
        <w:rPr>
          <w:b/>
          <w:bCs/>
          <w:color w:val="334059"/>
        </w:rPr>
        <w:t xml:space="preserve"> </w:t>
      </w:r>
    </w:p>
    <w:p w:rsidR="006D6E72" w:rsidRPr="006D6E72" w:rsidRDefault="006D6E72" w:rsidP="006D6E72">
      <w:pPr>
        <w:pStyle w:val="aa"/>
        <w:spacing w:before="0" w:beforeAutospacing="0" w:after="360" w:afterAutospacing="0"/>
        <w:jc w:val="both"/>
        <w:rPr>
          <w:color w:val="334059"/>
        </w:rPr>
      </w:pPr>
      <w:hyperlink r:id="rId9" w:history="1">
        <w:r w:rsidRPr="006D6E72">
          <w:rPr>
            <w:rStyle w:val="a9"/>
          </w:rPr>
          <w:t>Сервис</w:t>
        </w:r>
      </w:hyperlink>
      <w:r w:rsidRPr="006D6E72">
        <w:rPr>
          <w:color w:val="334059"/>
        </w:rPr>
        <w:t> «Публичная кадастровая карта» позволяет получать общедоступные сведения ЕГРН об объектах недвижимости в режиме онлайн.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  <w:r>
        <w:rPr>
          <w:color w:val="334059"/>
        </w:rPr>
        <w:t xml:space="preserve"> </w:t>
      </w:r>
      <w:r w:rsidRPr="006D6E72">
        <w:rPr>
          <w:color w:val="334059"/>
        </w:rPr>
        <w:t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</w:t>
      </w:r>
      <w:bookmarkStart w:id="0" w:name="_GoBack"/>
      <w:bookmarkEnd w:id="0"/>
      <w:r w:rsidRPr="006D6E72">
        <w:rPr>
          <w:color w:val="334059"/>
        </w:rPr>
        <w:t> </w:t>
      </w:r>
    </w:p>
    <w:p w:rsidR="006D6E72" w:rsidRPr="006D6E72" w:rsidRDefault="006D6E72" w:rsidP="006D6E72">
      <w:pPr>
        <w:pStyle w:val="aa"/>
        <w:spacing w:before="0" w:beforeAutospacing="0" w:after="360" w:afterAutospacing="0"/>
        <w:jc w:val="both"/>
        <w:rPr>
          <w:color w:val="334059"/>
        </w:rPr>
      </w:pPr>
      <w:r w:rsidRPr="006D6E72">
        <w:rPr>
          <w:color w:val="334059"/>
        </w:rPr>
        <w:t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</w:t>
      </w:r>
      <w:r>
        <w:rPr>
          <w:color w:val="334059"/>
        </w:rPr>
        <w:t xml:space="preserve"> </w:t>
      </w:r>
      <w:r w:rsidRPr="006D6E72">
        <w:rPr>
          <w:color w:val="334059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</w:t>
      </w:r>
      <w:r w:rsidRPr="006D6E72">
        <w:rPr>
          <w:color w:val="334059"/>
        </w:rPr>
        <w:lastRenderedPageBreak/>
        <w:t>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</w:t>
      </w:r>
      <w:r>
        <w:rPr>
          <w:color w:val="334059"/>
        </w:rPr>
        <w:t xml:space="preserve"> </w:t>
      </w:r>
      <w:r w:rsidRPr="006D6E72">
        <w:rPr>
          <w:color w:val="334059"/>
        </w:rPr>
        <w:t>Рассчитать величину </w:t>
      </w:r>
      <w:r w:rsidRPr="006D6E72">
        <w:rPr>
          <w:color w:val="334059"/>
          <w:shd w:val="clear" w:color="auto" w:fill="FFFFFF"/>
        </w:rPr>
        <w:t>налога</w:t>
      </w:r>
      <w:r w:rsidRPr="006D6E72">
        <w:rPr>
          <w:color w:val="334059"/>
        </w:rPr>
        <w:t> на объект недвижимого имущества исходя из его кадастровой стоимости можно в режиме онлайн с помощью налогового </w:t>
      </w:r>
      <w:hyperlink r:id="rId10" w:history="1">
        <w:r w:rsidRPr="006D6E72">
          <w:rPr>
            <w:rStyle w:val="a9"/>
          </w:rPr>
          <w:t>калькулятора</w:t>
        </w:r>
      </w:hyperlink>
      <w:r w:rsidRPr="006D6E72">
        <w:rPr>
          <w:color w:val="334059"/>
        </w:rPr>
        <w:t> Федеральной налоговой службы.</w:t>
      </w:r>
      <w:r>
        <w:rPr>
          <w:color w:val="334059"/>
        </w:rPr>
        <w:t xml:space="preserve"> </w:t>
      </w:r>
      <w:r w:rsidRPr="006D6E72">
        <w:rPr>
          <w:color w:val="334059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  <w:r>
        <w:rPr>
          <w:color w:val="334059"/>
        </w:rPr>
        <w:t xml:space="preserve"> </w:t>
      </w:r>
      <w:r w:rsidRPr="006D6E72">
        <w:rPr>
          <w:color w:val="334059"/>
        </w:rPr>
        <w:t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 </w:t>
      </w:r>
      <w:hyperlink r:id="rId11" w:history="1">
        <w:r w:rsidRPr="006D6E72">
          <w:rPr>
            <w:rStyle w:val="a9"/>
          </w:rPr>
          <w:t>портале</w:t>
        </w:r>
      </w:hyperlink>
      <w:r w:rsidRPr="006D6E72">
        <w:rPr>
          <w:color w:val="334059"/>
        </w:rPr>
        <w:t> </w:t>
      </w:r>
      <w:proofErr w:type="spellStart"/>
      <w:r w:rsidRPr="006D6E72">
        <w:rPr>
          <w:color w:val="334059"/>
        </w:rPr>
        <w:t>Росреестра</w:t>
      </w:r>
      <w:proofErr w:type="spellEnd"/>
      <w:r w:rsidRPr="006D6E72">
        <w:rPr>
          <w:color w:val="334059"/>
        </w:rPr>
        <w:t xml:space="preserve">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 </w:t>
      </w:r>
      <w:r w:rsidRPr="006D6E72">
        <w:rPr>
          <w:color w:val="334059"/>
          <w:shd w:val="clear" w:color="auto" w:fill="FFFFFF"/>
        </w:rPr>
        <w:t>Для оспаривания утвержденной кадастровой стоимости потребуется знать дату ее определения.</w:t>
      </w:r>
      <w:r>
        <w:rPr>
          <w:color w:val="334059"/>
          <w:shd w:val="clear" w:color="auto" w:fill="FFFFFF"/>
        </w:rPr>
        <w:t xml:space="preserve"> </w:t>
      </w:r>
      <w:r w:rsidRPr="006D6E72">
        <w:rPr>
          <w:color w:val="334059"/>
        </w:rPr>
        <w:t>Сведения о кадастровой стоимости, представленные на </w:t>
      </w:r>
      <w:hyperlink r:id="rId12" w:history="1">
        <w:r w:rsidRPr="006D6E72">
          <w:rPr>
            <w:rStyle w:val="a9"/>
          </w:rPr>
          <w:t>сервисе</w:t>
        </w:r>
      </w:hyperlink>
      <w:r w:rsidRPr="006D6E72">
        <w:rPr>
          <w:color w:val="334059"/>
        </w:rPr>
        <w:t> 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  <w:r>
        <w:rPr>
          <w:color w:val="334059"/>
        </w:rPr>
        <w:t xml:space="preserve"> О</w:t>
      </w:r>
      <w:r w:rsidRPr="006D6E72">
        <w:rPr>
          <w:color w:val="334059"/>
        </w:rPr>
        <w:t>бщедоступные сведения об объектах недвижимости, содержащиеся на публичной кадастровой </w:t>
      </w:r>
      <w:hyperlink r:id="rId13" w:history="1">
        <w:r w:rsidRPr="006D6E72">
          <w:rPr>
            <w:rStyle w:val="a9"/>
          </w:rPr>
          <w:t>карте</w:t>
        </w:r>
      </w:hyperlink>
      <w:r w:rsidRPr="006D6E72">
        <w:rPr>
          <w:color w:val="334059"/>
        </w:rPr>
        <w:t>,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 </w:t>
      </w:r>
      <w:hyperlink r:id="rId14" w:history="1">
        <w:r w:rsidRPr="006D6E72">
          <w:rPr>
            <w:rStyle w:val="a9"/>
          </w:rPr>
          <w:t>онлайн-сервиса</w:t>
        </w:r>
      </w:hyperlink>
      <w:r w:rsidRPr="006D6E72">
        <w:rPr>
          <w:color w:val="334059"/>
        </w:rPr>
        <w:t xml:space="preserve"> Федеральной кадастровой палаты, сервисов </w:t>
      </w:r>
      <w:proofErr w:type="spellStart"/>
      <w:r w:rsidRPr="006D6E72">
        <w:rPr>
          <w:color w:val="334059"/>
        </w:rPr>
        <w:t>Росреестра</w:t>
      </w:r>
      <w:proofErr w:type="spellEnd"/>
      <w:r w:rsidRPr="006D6E72">
        <w:rPr>
          <w:color w:val="334059"/>
        </w:rPr>
        <w:t xml:space="preserve"> или на портале </w:t>
      </w:r>
      <w:proofErr w:type="spellStart"/>
      <w:r w:rsidRPr="006D6E72">
        <w:rPr>
          <w:color w:val="334059"/>
        </w:rPr>
        <w:t>госуслуг</w:t>
      </w:r>
      <w:proofErr w:type="spellEnd"/>
      <w:r w:rsidRPr="006D6E72">
        <w:rPr>
          <w:color w:val="334059"/>
        </w:rPr>
        <w:t>.</w:t>
      </w: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2D" w:rsidRDefault="0052142D" w:rsidP="000F6087">
      <w:pPr>
        <w:spacing w:after="0" w:line="240" w:lineRule="auto"/>
      </w:pPr>
      <w:r>
        <w:separator/>
      </w:r>
    </w:p>
  </w:endnote>
  <w:endnote w:type="continuationSeparator" w:id="0">
    <w:p w:rsidR="0052142D" w:rsidRDefault="0052142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2D" w:rsidRDefault="0052142D" w:rsidP="000F6087">
      <w:pPr>
        <w:spacing w:after="0" w:line="240" w:lineRule="auto"/>
      </w:pPr>
      <w:r>
        <w:separator/>
      </w:r>
    </w:p>
  </w:footnote>
  <w:footnote w:type="continuationSeparator" w:id="0">
    <w:p w:rsidR="0052142D" w:rsidRDefault="0052142D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142D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D6E72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A0D74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5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sreestr.ru/sit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alog.ru/rn77/service/nalog_cal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2020-07-29T01:37:00Z</dcterms:created>
  <dcterms:modified xsi:type="dcterms:W3CDTF">2020-07-29T01:37:00Z</dcterms:modified>
</cp:coreProperties>
</file>